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黑体"/>
          <w:color w:val="000000"/>
          <w:spacing w:val="110"/>
          <w:kern w:val="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722630</wp:posOffset>
                </wp:positionV>
                <wp:extent cx="5715000" cy="635"/>
                <wp:effectExtent l="0" t="26670" r="0" b="2984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635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.55pt;margin-top:56.9pt;height:0.05pt;width:450pt;z-index:251659264;mso-width-relative:page;mso-height-relative:page;" filled="f" stroked="t" coordsize="21600,21600" o:gfxdata="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FgAAAGRy&#10;cy9QSwECFAAUAAAACACHTuJA4MfO9tYAAAALAQAADwAAAAAAAAABACAAAAA4AAAAZHJzL2Rvd25y&#10;ZXYueG1sUEsBAhQAFAAAAAgAh07iQNlwCfLqAQAAsAMAAA4AAAAAAAAAAQAgAAAAOwEAAGRycy9l&#10;Mm9Eb2MueG1sUEsFBgAAAAAGAAYAWQEAAJcFAAAAAA==&#10;">
                <v:fill on="f" focussize="0,0"/>
                <v:stroke weight="4.25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/>
          <w:color w:val="FF0000"/>
          <w:spacing w:val="88"/>
          <w:kern w:val="0"/>
          <w:sz w:val="72"/>
          <w:szCs w:val="72"/>
          <w:fitText w:val="8789" w:id="-42119765"/>
        </w:rPr>
        <w:t>枣庄市</w:t>
      </w:r>
      <w:r>
        <w:rPr>
          <w:rFonts w:hint="eastAsia" w:ascii="方正小标宋简体" w:hAnsi="方正小标宋简体" w:eastAsia="方正小标宋简体"/>
          <w:color w:val="FF0000"/>
          <w:spacing w:val="88"/>
          <w:kern w:val="0"/>
          <w:sz w:val="72"/>
          <w:szCs w:val="72"/>
          <w:fitText w:val="8789" w:id="-42119765"/>
          <w:lang w:eastAsia="zh-CN"/>
        </w:rPr>
        <w:t>国防动员</w:t>
      </w:r>
      <w:r>
        <w:rPr>
          <w:rFonts w:hint="eastAsia" w:ascii="方正小标宋简体" w:hAnsi="方正小标宋简体" w:eastAsia="方正小标宋简体"/>
          <w:color w:val="FF0000"/>
          <w:spacing w:val="88"/>
          <w:kern w:val="0"/>
          <w:sz w:val="72"/>
          <w:szCs w:val="72"/>
          <w:fitText w:val="8789" w:id="-42119765"/>
        </w:rPr>
        <w:t>办公</w:t>
      </w:r>
      <w:r>
        <w:rPr>
          <w:rFonts w:hint="eastAsia" w:ascii="方正小标宋简体" w:hAnsi="方正小标宋简体" w:eastAsia="方正小标宋简体"/>
          <w:color w:val="FF0000"/>
          <w:spacing w:val="2"/>
          <w:kern w:val="0"/>
          <w:sz w:val="72"/>
          <w:szCs w:val="72"/>
          <w:fitText w:val="8789" w:id="-42119765"/>
        </w:rPr>
        <w:t>室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8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8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lang w:eastAsia="zh-CN"/>
        </w:rPr>
        <w:t>枣庄市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国防动员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lang w:eastAsia="zh-CN"/>
        </w:rPr>
        <w:t>办公室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8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2024年政府信息公开工作年度报告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8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本报告根据《中华人民共和国政府信息公开条例》（以下简称《条例》）要求，结合202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年枣庄市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国防动员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办公室政府信息公开工作实际编制而成。内容包括总体情况、主动公开政府信息情况、收到和处理政府信息公开申请情况、政府信息公开行政复议、行政诉讼情况、存在的主要问题及改进情况、其他需要报告的事项，以及相关指标统计附表、附图等。本年度报告中所列数据统计期限从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年1月1日到12月31日止。本年度报告电子版可从枣庄市人民政府门户网站（http://www.zaozhuang.gov.cn/）下载。如对本年度报告有疑问，请与枣庄市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国防动员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办公室联系（电话:0632—3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302899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，电子邮箱:srfbadmin@zz.shandong.cn）。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640" w:firstLineChars="200"/>
        <w:jc w:val="both"/>
        <w:textAlignment w:val="auto"/>
        <w:rPr>
          <w:rStyle w:val="9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9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32"/>
          <w:szCs w:val="32"/>
        </w:rPr>
        <w:t>总体情况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2024年，枣庄市国防动员办公室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认真贯彻落实中央、省、市关于政务公开工作的决策部署，坚持以公开为常态、不公开为例外，强化制度建设、深化公开内容、规范平台载体，以公开促落实、促规范、促服务。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80" w:lineRule="exact"/>
        <w:ind w:firstLine="640" w:firstLineChars="200"/>
        <w:jc w:val="both"/>
        <w:textAlignment w:val="auto"/>
        <w:rPr>
          <w:sz w:val="32"/>
          <w:szCs w:val="32"/>
        </w:rPr>
      </w:pPr>
      <w:r>
        <w:rPr>
          <w:rFonts w:ascii="楷体_GB2312" w:hAnsi="宋体" w:eastAsia="楷体_GB2312" w:cs="楷体_GB2312"/>
          <w:color w:val="000000"/>
          <w:kern w:val="0"/>
          <w:sz w:val="32"/>
          <w:szCs w:val="32"/>
          <w:lang w:val="en-US" w:eastAsia="zh-CN" w:bidi="ar"/>
        </w:rPr>
        <w:t xml:space="preserve">（一）主动公开方面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一是加大主动公开力度，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按时公开政府信息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依照《条例》第二十条规定，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对主动公开基本目录进行了梳理和调整。主动公开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机构职能、规范性文件、政策文件、政策解读、人事信息、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政务公开培训、组织管理、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规划计划、会议公开、权责清单、“双随机、一公开”监管、行政处罚及行政强制、建议提案办理、互动与回应等信息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全年通过门户网站和政府网站等渠道公开信息261条，微信公众号发布信息180条，办理建议提案1件。</w:t>
      </w:r>
      <w:r>
        <w:rPr>
          <w:rFonts w:hint="eastAsia" w:ascii="仿宋_GB2312" w:hAnsi="宋体" w:eastAsia="仿宋_GB2312" w:cs="宋体"/>
          <w:b w:val="0"/>
          <w:bCs w:val="0"/>
          <w:color w:val="000000"/>
          <w:sz w:val="32"/>
          <w:szCs w:val="32"/>
          <w:shd w:val="clear" w:color="auto" w:fill="FFFFFF"/>
        </w:rPr>
        <w:t>进一步</w:t>
      </w:r>
      <w:r>
        <w:rPr>
          <w:rFonts w:hint="eastAsia" w:ascii="仿宋_GB2312" w:hAnsi="宋体" w:eastAsia="仿宋_GB2312" w:cs="宋体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强化</w:t>
      </w:r>
      <w:r>
        <w:rPr>
          <w:rFonts w:hint="eastAsia" w:ascii="仿宋_GB2312" w:hAnsi="宋体" w:eastAsia="仿宋_GB2312" w:cs="宋体"/>
          <w:b w:val="0"/>
          <w:bCs w:val="0"/>
          <w:color w:val="000000"/>
          <w:sz w:val="32"/>
          <w:szCs w:val="32"/>
          <w:shd w:val="clear" w:color="auto" w:fill="FFFFFF"/>
        </w:rPr>
        <w:t>政</w:t>
      </w:r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</w:rPr>
        <w:t>府信息公开保密审查，严格按规定程序开展政府信息公开保密审查工作</w:t>
      </w:r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二是强化政策解读，回应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社会关切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。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严格落实政策性文件与解读方案、解读材料同步组织、同步审批、同步发布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，及时公布规范性文件清理结果。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全年召开新闻发布会1次，对我市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国防动员宣传教育“一张图”平台建设和品牌创建情况进行详细介绍，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并回答记者提问。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全年参加政风行风热线2次，围绕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国防动员重点工作、国防动员宣传教育、人防工程服务社会民生、人防工程知识及如何辨识、结建防空地下室审批政策等进行了重点解读。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8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</w:rPr>
        <w:t>（二）规范办理依申请公开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聚焦“群众满意”，严格规范政府信息依申请公开内容审查、办理流程和答复规范，完善工作机制，提高依申请公开办理服务水平。202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，本机关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共收到政府信息公开申请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件，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其中线上申请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6件，线下邮寄申请5件，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已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办结答复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；上年结转0件，结转下年度继续办理0件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。从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申请数量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来看，今年通过公开平台、邮寄等渠道受理依申请公开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数量与去年相比基本持平。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8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（三）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</w:rPr>
        <w:t>政府信息管理情况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修订完善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《枣庄市国防动员办公室2024年度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主动公开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基本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目录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》，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优化调整编排体系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明确公开内容、时限、渠道和主体，不断扩大主动公开的范围和深度。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严格执行保密审查的有关规定和制度，完善签批机制，对拟公开的政府信息经科室负责人、分管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领导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对公开属性审核把关并进行保密审查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，依法公开本机关的政府信息。202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年，我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未发生因政府信息公开审查不当而引起的失泄密情况。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三是做好规范性文件管理工作，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对规范性文件、政策文件集中在平台发布，及时统计分析，实时更新规范性文件清理结果，今年公开现行有效规范性文件1件。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</w:rPr>
        <w:t>（四）平台建设情况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一是建好用好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市政府网站政务公开主阵地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本着问题导向、开放融合、集约节约、平稳有序的建设原则，积极配合市政府构建节约高效的政府网站集约化平台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优化网站专栏设置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加强内容维护，提升信息发布时效性。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积极拓宽政务公开渠道。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形成以“枣庄市人民政府”网站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政务公开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专栏、“枣庄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市国防动员办公室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门户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网站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“枣庄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国防动员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”微信公众号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共同发力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的多元化政务公开矩阵平台体系。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建设国防动员宣传教育“一张图”平台，确定并打造了“强国防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枣动员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”宣传教育品牌，拍摄了主题宣教片，打造了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3条国防动员红色旅游线路。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畅通线下公开渠道。利用国防动员宣教展馆开展“走进国动”参观体验活动，建好用好国防动员主题公园，积极开展政府开放月活动，切实打通政府联系群众的“最后一公里”。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（五）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</w:rPr>
        <w:t>监督保障情况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一是加强组织领导，及时调整政务公开领导小组成员，明确由办综合科负责牵头组织政务公开工作，配备两名工作人员作为政务公开工作的具体承办人员，各科室及成员单位之间协调配合。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二是持续加大经费投入，与专业的网站运维公司签订协议，组织召开培训会，切实提升业务能力和水平。三是强化督办调度，建立工作台账，持续跟踪督办，推动工作落实落细。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firstLine="640" w:firstLineChars="200"/>
        <w:jc w:val="left"/>
        <w:textAlignment w:val="auto"/>
        <w:rPr>
          <w:rStyle w:val="9"/>
          <w:rFonts w:hint="eastAsia" w:ascii="黑体" w:hAnsi="宋体" w:eastAsia="黑体" w:cs="黑体"/>
          <w:b w:val="0"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二、</w:t>
      </w:r>
      <w:r>
        <w:rPr>
          <w:rStyle w:val="9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32"/>
          <w:szCs w:val="32"/>
        </w:rPr>
        <w:t>主动公开政府信息情况</w:t>
      </w:r>
    </w:p>
    <w:tbl>
      <w:tblPr>
        <w:tblStyle w:val="7"/>
        <w:tblW w:w="88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2206"/>
        <w:gridCol w:w="2206"/>
        <w:gridCol w:w="22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本年制发件数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本年废止件数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现行有效件数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行政规范性文件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 w:firstLine="640" w:firstLineChars="200"/>
        <w:jc w:val="both"/>
        <w:textAlignment w:val="auto"/>
        <w:rPr>
          <w:rStyle w:val="9"/>
          <w:rFonts w:hint="eastAsia" w:ascii="黑体" w:hAnsi="宋体" w:eastAsia="黑体" w:cs="黑体"/>
          <w:b w:val="0"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9"/>
          <w:rFonts w:hint="eastAsia" w:ascii="黑体" w:hAnsi="宋体" w:eastAsia="黑体" w:cs="黑体"/>
          <w:b w:val="0"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三、</w:t>
      </w:r>
      <w:r>
        <w:rPr>
          <w:rStyle w:val="9"/>
          <w:rFonts w:hint="eastAsia" w:ascii="黑体" w:hAnsi="宋体" w:eastAsia="黑体" w:cs="黑体"/>
          <w:b w:val="0"/>
          <w:bCs/>
          <w:i w:val="0"/>
          <w:iCs w:val="0"/>
          <w:caps w:val="0"/>
          <w:color w:val="000000"/>
          <w:spacing w:val="0"/>
          <w:sz w:val="32"/>
          <w:szCs w:val="32"/>
        </w:rPr>
        <w:t>收到和处理政府信息公开申请情况</w:t>
      </w:r>
    </w:p>
    <w:tbl>
      <w:tblPr>
        <w:tblStyle w:val="7"/>
        <w:tblW w:w="991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1701"/>
        <w:gridCol w:w="2976"/>
        <w:gridCol w:w="829"/>
        <w:gridCol w:w="567"/>
        <w:gridCol w:w="567"/>
        <w:gridCol w:w="731"/>
        <w:gridCol w:w="708"/>
        <w:gridCol w:w="567"/>
        <w:gridCol w:w="8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5093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黑体" w:eastAsia="楷体_GB2312"/>
                <w:kern w:val="0"/>
                <w:szCs w:val="21"/>
              </w:rPr>
            </w:pPr>
            <w:r>
              <w:rPr>
                <w:rFonts w:hint="eastAsia" w:ascii="楷体_GB2312" w:hAnsi="黑体" w:eastAsia="楷体_GB2312"/>
                <w:kern w:val="0"/>
                <w:szCs w:val="21"/>
              </w:rPr>
              <w:t>（本列数据的勾稽关系为：第一项加第二项之和，</w:t>
            </w:r>
          </w:p>
          <w:p>
            <w:pPr>
              <w:widowControl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楷体_GB2312" w:hAnsi="黑体" w:eastAsia="楷体_GB2312"/>
                <w:kern w:val="0"/>
                <w:szCs w:val="21"/>
              </w:rPr>
              <w:t>等于第三项加第四项之和）</w:t>
            </w:r>
          </w:p>
        </w:tc>
        <w:tc>
          <w:tcPr>
            <w:tcW w:w="4820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2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自然人</w:t>
            </w:r>
          </w:p>
        </w:tc>
        <w:tc>
          <w:tcPr>
            <w:tcW w:w="3140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法人或其他组织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2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商业企业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科研机构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社会公益组织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法律服务机构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left="-63" w:leftChars="-30" w:right="-134" w:rightChars="-64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其他</w:t>
            </w:r>
          </w:p>
        </w:tc>
        <w:tc>
          <w:tcPr>
            <w:tcW w:w="85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一、</w:t>
            </w:r>
            <w:bookmarkStart w:id="0" w:name="_Hlk66973412"/>
            <w:r>
              <w:rPr>
                <w:rFonts w:hint="eastAsia" w:ascii="黑体" w:hAnsi="黑体" w:eastAsia="黑体"/>
                <w:kern w:val="0"/>
                <w:szCs w:val="21"/>
              </w:rPr>
              <w:t>本年新收政府信息公开申请数量</w:t>
            </w:r>
            <w:bookmarkEnd w:id="0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11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三、本年度办理结果</w:t>
            </w: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（一）予以公开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（二）部分公开（</w:t>
            </w:r>
            <w:bookmarkStart w:id="1" w:name="_Hlk66973981"/>
            <w:r>
              <w:rPr>
                <w:rFonts w:hint="eastAsia" w:ascii="黑体" w:hAnsi="黑体" w:eastAsia="黑体"/>
                <w:kern w:val="0"/>
                <w:szCs w:val="21"/>
              </w:rPr>
              <w:t>区分处理的，只计这一情形，不计其他情形</w:t>
            </w:r>
            <w:bookmarkEnd w:id="1"/>
            <w:r>
              <w:rPr>
                <w:rFonts w:hint="eastAsia" w:ascii="黑体" w:hAnsi="黑体" w:eastAsia="黑体"/>
                <w:kern w:val="0"/>
                <w:szCs w:val="21"/>
              </w:rPr>
              <w:t>）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（三）不予公开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1.属于国家秘密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</w:t>
            </w:r>
            <w:bookmarkStart w:id="2" w:name="_Hlk66974104"/>
            <w:r>
              <w:rPr>
                <w:rFonts w:hint="eastAsia" w:ascii="仿宋_GB2312" w:hAnsi="黑体" w:eastAsia="仿宋_GB2312"/>
                <w:kern w:val="0"/>
                <w:szCs w:val="21"/>
              </w:rPr>
              <w:t>其他法律行政法规禁止公开</w:t>
            </w:r>
            <w:bookmarkEnd w:id="2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3.危及“三安全一稳定”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4.</w:t>
            </w:r>
            <w:bookmarkStart w:id="3" w:name="_Hlk66974290"/>
            <w:r>
              <w:rPr>
                <w:rFonts w:hint="eastAsia" w:ascii="仿宋_GB2312" w:hAnsi="黑体" w:eastAsia="仿宋_GB2312"/>
                <w:kern w:val="0"/>
                <w:szCs w:val="21"/>
              </w:rPr>
              <w:t>保护第三方合法权益</w:t>
            </w:r>
            <w:bookmarkEnd w:id="3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5.属于三类内部事务信息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6.</w:t>
            </w:r>
            <w:bookmarkStart w:id="4" w:name="_Hlk66974555"/>
            <w:r>
              <w:rPr>
                <w:rFonts w:hint="eastAsia" w:ascii="仿宋_GB2312" w:hAnsi="黑体" w:eastAsia="仿宋_GB2312"/>
                <w:kern w:val="0"/>
                <w:szCs w:val="21"/>
              </w:rPr>
              <w:t>属于四类过程性信息</w:t>
            </w:r>
            <w:bookmarkEnd w:id="4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7.属于行政执法案卷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8.</w:t>
            </w:r>
            <w:bookmarkStart w:id="5" w:name="_Hlk66975211"/>
            <w:r>
              <w:rPr>
                <w:rFonts w:hint="eastAsia" w:ascii="仿宋_GB2312" w:hAnsi="黑体" w:eastAsia="仿宋_GB2312"/>
                <w:kern w:val="0"/>
                <w:szCs w:val="21"/>
              </w:rPr>
              <w:t>属于行政查询事项</w:t>
            </w:r>
            <w:bookmarkEnd w:id="5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（四）无法提供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1.本机关不掌握相关政府信息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10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</w:t>
            </w:r>
            <w:bookmarkStart w:id="6" w:name="_Hlk66975392"/>
            <w:r>
              <w:rPr>
                <w:rFonts w:hint="eastAsia" w:ascii="仿宋_GB2312" w:hAnsi="黑体" w:eastAsia="仿宋_GB2312"/>
                <w:kern w:val="0"/>
                <w:szCs w:val="21"/>
              </w:rPr>
              <w:t>没有现成信息需要另行制作</w:t>
            </w:r>
            <w:bookmarkEnd w:id="6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</w:t>
            </w:r>
            <w:bookmarkStart w:id="7" w:name="_Hlk66975466"/>
            <w:r>
              <w:rPr>
                <w:rFonts w:hint="eastAsia" w:ascii="仿宋_GB2312" w:hAnsi="黑体" w:eastAsia="仿宋_GB2312"/>
                <w:kern w:val="0"/>
                <w:szCs w:val="21"/>
              </w:rPr>
              <w:t>补正后申请内容仍不明确</w:t>
            </w:r>
            <w:bookmarkEnd w:id="7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（五）不予处理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</w:t>
            </w:r>
            <w:bookmarkStart w:id="8" w:name="_Hlk66975537"/>
            <w:r>
              <w:rPr>
                <w:rFonts w:hint="eastAsia" w:ascii="仿宋_GB2312" w:hAnsi="黑体" w:eastAsia="仿宋_GB2312"/>
                <w:kern w:val="0"/>
                <w:szCs w:val="21"/>
              </w:rPr>
              <w:t>信访举报投诉类申请</w:t>
            </w:r>
            <w:bookmarkEnd w:id="8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3.要求提供公开出版物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4.无正当理由大量反复申请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5.要求行政机关确认或重新</w:t>
            </w:r>
          </w:p>
          <w:p>
            <w:pPr>
              <w:widowControl/>
              <w:spacing w:line="300" w:lineRule="exact"/>
              <w:ind w:firstLine="210" w:firstLineChars="100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出具已获取信息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（六）其他处理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楷体" w:eastAsia="仿宋_GB2312"/>
              </w:rPr>
            </w:pPr>
            <w:r>
              <w:rPr>
                <w:rFonts w:hint="eastAsia" w:ascii="仿宋_GB2312" w:hAnsi="楷体" w:eastAsia="仿宋_GB2312"/>
              </w:rPr>
              <w:t>1.申请人无正当理由逾期不补正、行政机关不再处理其政府信息公开申请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</w:rPr>
              <w:t>2.申请人逾期未按收费通知要求缴纳费用、行政机关不再处理其政府信息公开申请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</w:rPr>
              <w:t>3.其他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（七）总计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11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四、结转下年度继续办理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40" w:firstLineChars="200"/>
        <w:jc w:val="both"/>
        <w:textAlignment w:val="auto"/>
        <w:rPr>
          <w:rStyle w:val="9"/>
          <w:rFonts w:hint="eastAsia" w:ascii="黑体" w:hAnsi="宋体" w:eastAsia="黑体" w:cs="黑体"/>
          <w:b w:val="0"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40" w:firstLineChars="200"/>
        <w:jc w:val="both"/>
        <w:textAlignment w:val="auto"/>
        <w:rPr>
          <w:rStyle w:val="9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黑体" w:hAnsi="宋体" w:eastAsia="黑体" w:cs="黑体"/>
          <w:b w:val="0"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四、</w:t>
      </w:r>
      <w:r>
        <w:rPr>
          <w:rStyle w:val="9"/>
          <w:rFonts w:hint="eastAsia" w:ascii="黑体" w:hAnsi="宋体" w:eastAsia="黑体" w:cs="黑体"/>
          <w:b w:val="0"/>
          <w:bCs/>
          <w:i w:val="0"/>
          <w:iCs w:val="0"/>
          <w:caps w:val="0"/>
          <w:color w:val="000000"/>
          <w:spacing w:val="0"/>
          <w:sz w:val="32"/>
          <w:szCs w:val="32"/>
        </w:rPr>
        <w:t>政府信息公开行政复议、行政诉讼情况</w:t>
      </w:r>
    </w:p>
    <w:tbl>
      <w:tblPr>
        <w:tblStyle w:val="7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49" w:leftChars="-71" w:right="-170" w:rightChars="-81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49" w:leftChars="-71" w:right="-170" w:rightChars="-8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43" w:leftChars="-21" w:right="-132" w:rightChars="-63" w:hanging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2" w:leftChars="-39" w:right="-97" w:rightChars="-4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18" w:leftChars="-56" w:right="-118" w:rightChars="-56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18" w:leftChars="-56" w:right="-118" w:rightChars="-5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</w:t>
            </w:r>
          </w:p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bookmarkStart w:id="9" w:name="_Hlk67039688"/>
            <w:r>
              <w:rPr>
                <w:rFonts w:ascii="黑体" w:hAnsi="黑体" w:eastAsia="黑体"/>
                <w:kern w:val="0"/>
                <w:sz w:val="20"/>
                <w:szCs w:val="20"/>
              </w:rPr>
              <w:t>复议后起诉</w:t>
            </w:r>
            <w:bookmarkEnd w:id="9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05" w:leftChars="-50" w:right="-126" w:rightChars="-6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6" w:leftChars="-41" w:right="-88" w:rightChars="-42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26" w:leftChars="-60" w:right="-136" w:rightChars="-65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26" w:leftChars="-60" w:right="-136" w:rightChars="-65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64" w:leftChars="-78" w:right="-153" w:rightChars="-73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64" w:leftChars="-78" w:right="-153" w:rightChars="-73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99" w:leftChars="-47" w:right="-78" w:rightChars="-37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36" w:leftChars="-65" w:right="-124" w:rightChars="-59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36" w:leftChars="-65" w:right="-124" w:rightChars="-59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73" w:leftChars="-83" w:right="-134" w:rightChars="-64" w:hanging="1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73" w:leftChars="-83" w:right="-134" w:rightChars="-64" w:hanging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67" w:leftChars="-33" w:right="-105" w:rightChars="-50" w:hanging="2" w:hangingChars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Theme="minorEastAsia"/>
                <w:color w:val="FF000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Theme="minor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Theme="minor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9"/>
          <w:rFonts w:hint="eastAsia" w:ascii="黑体" w:hAnsi="宋体" w:eastAsia="黑体" w:cs="黑体"/>
          <w:b w:val="0"/>
          <w:bCs/>
          <w:i w:val="0"/>
          <w:iCs w:val="0"/>
          <w:caps w:val="0"/>
          <w:color w:val="000000"/>
          <w:spacing w:val="0"/>
          <w:sz w:val="32"/>
          <w:szCs w:val="32"/>
        </w:rPr>
        <w:t>五、存在的主要问题及改进情况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ascii="楷体_GB2312" w:hAnsi="微软雅黑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ascii="楷体_GB2312" w:hAnsi="微软雅黑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（一）存在的主要问题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2024年，市国动办根据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市政府办的安排部署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全面推进政务公开工作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取得了一些成绩。但也发现，工作中存在一些问题和不足。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一是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公开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的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规范度还需加强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个别领域信息公开存在发布不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及时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、不全面的情况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二是政府信息公开的形式不够丰富，大多是以文字的形式展现，鲜活生动的视频、图文形式发布的政府信息偏少。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楷体_GB2312" w:hAnsi="微软雅黑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（二）改进情况及下一步工作打算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Style w:val="9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0"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继续加大政务公开业务知识和工作技能全员培训力度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采取专题培训会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座谈交流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等形式，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加强政务公开人员队伍建设，提升专业化水平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Chars="0" w:firstLine="640" w:firstLineChars="200"/>
        <w:jc w:val="both"/>
        <w:textAlignment w:val="auto"/>
        <w:rPr>
          <w:rStyle w:val="9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创新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解读形式，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继续加强对政策文件解读材料的审核把关力度，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采用人民群众喜闻乐见的解读方式，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丰富解读内涵，真正让群众看得懂、用得上。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9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32"/>
          <w:szCs w:val="32"/>
        </w:rPr>
        <w:t>六、其他需要报告的事项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一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</w:rPr>
        <w:t>）政府信息公开信</w:t>
      </w:r>
      <w:bookmarkStart w:id="10" w:name="_GoBack"/>
      <w:bookmarkEnd w:id="10"/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</w:rPr>
        <w:t>息处理费情况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年度市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国动办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未收取政府信息公开信息处理费。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640" w:firstLineChars="200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sz w:val="32"/>
          <w:szCs w:val="32"/>
        </w:rPr>
        <w:t>落实上级年度政务公开工作要点情况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5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2024年，市国动办细化工作任务，明确责任分工，较好完成各项工作。</w:t>
      </w: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一是深化国防动员领域信息公开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。及时公开年度重点工作，</w:t>
      </w:r>
      <w:r>
        <w:rPr>
          <w:rFonts w:hint="eastAsia" w:ascii="仿宋_GB2312" w:hAnsi="sans-serif" w:eastAsia="仿宋_GB2312" w:cs="仿宋_GB2312"/>
          <w:color w:val="000000"/>
          <w:sz w:val="32"/>
          <w:szCs w:val="32"/>
          <w:lang w:val="en-US" w:eastAsia="zh-CN"/>
        </w:rPr>
        <w:t>建立执行落实情况工作台账，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明确工作任务、责任分工和完成时限，每季度调度并在市政府网站进行实时公开，逐项推动工作落实。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1"/>
          <w:szCs w:val="31"/>
        </w:rPr>
        <w:t>二是加强政府信息公开申请办理工作。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规范申请接收、登记、审核、办理、答复、归档等工作流程，依法保障公众合理信息需求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。</w:t>
      </w:r>
      <w:r>
        <w:rPr>
          <w:rFonts w:hint="eastAsia" w:ascii="楷体_GB2312" w:hAnsi="宋体" w:eastAsia="楷体_GB2312" w:cs="楷体_GB2312"/>
          <w:i w:val="0"/>
          <w:iCs w:val="0"/>
          <w:caps w:val="0"/>
          <w:color w:val="000000"/>
          <w:spacing w:val="0"/>
          <w:sz w:val="31"/>
          <w:szCs w:val="31"/>
        </w:rPr>
        <w:t>三是</w:t>
      </w:r>
      <w:r>
        <w:rPr>
          <w:rFonts w:hint="eastAsia" w:ascii="楷体_GB2312" w:hAnsi="宋体" w:eastAsia="楷体_GB2312" w:cs="楷体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加强行政执法公示。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强化行政执法事前、事中、事后信息公开，加大“双随机、一公开”监管信息公开力度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三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</w:rPr>
        <w:t>）202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</w:rPr>
        <w:t>年建议提案办理总体情况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2024年，市国动办共收到市政协十一届三次会议提案1件，为会办件，主要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关于加强我市青少年国防教育的议案，</w:t>
      </w:r>
      <w:r>
        <w:rPr>
          <w:rFonts w:ascii="仿宋_GB2312" w:hAnsi="宋体" w:eastAsia="仿宋_GB2312" w:cs="仿宋_GB2312"/>
          <w:kern w:val="0"/>
          <w:sz w:val="32"/>
          <w:szCs w:val="32"/>
          <w:lang w:val="en-US" w:eastAsia="zh-CN" w:bidi="ar"/>
        </w:rPr>
        <w:t>已全部按要求在规定时限内答复完毕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，意见采纳率100%，办结率100%。2024年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市国动办未收到相关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人大代表建议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事项。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</w:rPr>
        <w:t>）工作创新情况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为进一步深化国防动员工作公开力度，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增强社会群众对国防动员工作的关心、关注和支持，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积极打造枣庄市国防动员宣传教育“一张图”平台建设。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将我市国防动员宣传教育“四个一”（即“一市一品牌、一市一阵地、一市一堂课、一市一线路”）整合在一起，形成具有枣庄特色的国防动员宣传教育矩阵，确立了“强国防 枣动员”宣传教育品牌，突出了国防动员宣教主阵地，拍摄了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《铁道传奇、英雄枣庄》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国防动员宣传教育片，打造了3条国防动员红色旅游线路。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建好用好国防动员宣教展馆和主题公园主阵地。全市建成国防动员主题公园4处，打造双拥主题广场1处。今年市国防动员宣教展馆接待近10余批次、近700人次参加“走进国动”参观体验活动，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促进了全民国防意识和防空防灾意识提升，切实打通政民互动、政府联系群众的“最后一公里”。</w:t>
      </w:r>
    </w:p>
    <w:sectPr>
      <w:footerReference r:id="rId3" w:type="default"/>
      <w:pgSz w:w="11906" w:h="16838"/>
      <w:pgMar w:top="1984" w:right="1474" w:bottom="1984" w:left="1474" w:header="851" w:footer="1701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sans-serif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B3B68E"/>
    <w:multiLevelType w:val="singleLevel"/>
    <w:tmpl w:val="14B3B68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3BD3230"/>
    <w:multiLevelType w:val="multilevel"/>
    <w:tmpl w:val="23BD3230"/>
    <w:lvl w:ilvl="0" w:tentative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850" w:hanging="708"/>
      </w:pPr>
      <w:rPr>
        <w:rFonts w:hint="eastAsia"/>
      </w:rPr>
    </w:lvl>
    <w:lvl w:ilvl="4" w:tentative="0">
      <w:start w:val="1"/>
      <w:numFmt w:val="decimal"/>
      <w:pStyle w:val="2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hZmU4MjU1NmExNmE5YjIxOTdmNTEwNTZiZTlmYmQifQ=="/>
  </w:docVars>
  <w:rsids>
    <w:rsidRoot w:val="369C0D5D"/>
    <w:rsid w:val="051A2B2E"/>
    <w:rsid w:val="0DDE7068"/>
    <w:rsid w:val="0FF75799"/>
    <w:rsid w:val="11612713"/>
    <w:rsid w:val="14F59844"/>
    <w:rsid w:val="2EFE6D7B"/>
    <w:rsid w:val="369C0D5D"/>
    <w:rsid w:val="36BC1E7D"/>
    <w:rsid w:val="37DE6701"/>
    <w:rsid w:val="39D81B38"/>
    <w:rsid w:val="3AF713DA"/>
    <w:rsid w:val="3B853420"/>
    <w:rsid w:val="45961B99"/>
    <w:rsid w:val="4DA764BF"/>
    <w:rsid w:val="58E5998B"/>
    <w:rsid w:val="5AFFFD5C"/>
    <w:rsid w:val="5C405244"/>
    <w:rsid w:val="5E78BC16"/>
    <w:rsid w:val="5FE601FA"/>
    <w:rsid w:val="657C3588"/>
    <w:rsid w:val="67AFBEDC"/>
    <w:rsid w:val="69EFA3E6"/>
    <w:rsid w:val="6F7E7008"/>
    <w:rsid w:val="759B1E58"/>
    <w:rsid w:val="7B7380CD"/>
    <w:rsid w:val="7BB7C4B2"/>
    <w:rsid w:val="7DFF0EB4"/>
    <w:rsid w:val="7E7F8D0C"/>
    <w:rsid w:val="7F590D7D"/>
    <w:rsid w:val="7F7EC718"/>
    <w:rsid w:val="7FEF68DD"/>
    <w:rsid w:val="96E7E3CB"/>
    <w:rsid w:val="9FDFEED3"/>
    <w:rsid w:val="B65C5D86"/>
    <w:rsid w:val="B67F4356"/>
    <w:rsid w:val="BA7B23C6"/>
    <w:rsid w:val="CAF450D6"/>
    <w:rsid w:val="D6F5D625"/>
    <w:rsid w:val="D7FE4DFC"/>
    <w:rsid w:val="DABFDAEA"/>
    <w:rsid w:val="DED70951"/>
    <w:rsid w:val="DEFE2EB5"/>
    <w:rsid w:val="DFD77F02"/>
    <w:rsid w:val="DFF104AB"/>
    <w:rsid w:val="DFF71AC6"/>
    <w:rsid w:val="E5F5FEE3"/>
    <w:rsid w:val="EEFF2101"/>
    <w:rsid w:val="F9F68DDB"/>
    <w:rsid w:val="FAB68ED2"/>
    <w:rsid w:val="FBFF2933"/>
    <w:rsid w:val="FC7EF02A"/>
    <w:rsid w:val="FDFDBB70"/>
    <w:rsid w:val="FE73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unhideWhenUsed/>
    <w:qFormat/>
    <w:uiPriority w:val="0"/>
    <w:pPr>
      <w:keepNext/>
      <w:keepLines/>
      <w:numPr>
        <w:ilvl w:val="4"/>
        <w:numId w:val="1"/>
      </w:numPr>
      <w:ind w:left="851" w:hanging="851"/>
      <w:outlineLvl w:val="4"/>
    </w:pPr>
    <w:rPr>
      <w:b/>
      <w:bCs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4651</Words>
  <Characters>4834</Characters>
  <Lines>0</Lines>
  <Paragraphs>0</Paragraphs>
  <TotalTime>5</TotalTime>
  <ScaleCrop>false</ScaleCrop>
  <LinksUpToDate>false</LinksUpToDate>
  <CharactersWithSpaces>4835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2023-01-16T14:14:00Z</dcterms:created>
  <dc:creator>_俗</dc:creator>
  <cp:lastModifiedBy>user</cp:lastModifiedBy>
  <cp:lastPrinted>2024-01-31T16:52:00Z</cp:lastPrinted>
  <dcterms:modified xsi:type="dcterms:W3CDTF">2025-01-21T16:18:17Z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1DB2899B60354F6C82E1F3A7C2883206_13</vt:lpwstr>
  </property>
  <property fmtid="{D5CDD505-2E9C-101B-9397-08002B2CF9AE}" pid="4" name="KSOTemplateDocerSaveRecord">
    <vt:lpwstr>eyJoZGlkIjoiY2RhZmU4MjU1NmExNmE5YjIxOTdmNTEwNTZiZTlmYmQiLCJ1c2VySWQiOiI0NDgxOTc5NjcifQ==</vt:lpwstr>
  </property>
</Properties>
</file>