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44"/>
          <w:szCs w:val="44"/>
        </w:rPr>
        <w:t>枣庄市</w:t>
      </w:r>
      <w:r>
        <w:rPr>
          <w:rFonts w:hint="eastAsia" w:ascii="黑体" w:hAnsi="黑体" w:eastAsia="黑体" w:cs="黑体"/>
          <w:sz w:val="44"/>
          <w:szCs w:val="44"/>
          <w:lang w:eastAsia="zh-CN"/>
        </w:rPr>
        <w:t>人民防空办公室</w:t>
      </w:r>
    </w:p>
    <w:p>
      <w:pPr>
        <w:jc w:val="center"/>
        <w:rPr>
          <w:rFonts w:hint="eastAsia"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2021年政府信息公开工作年度报告</w:t>
      </w:r>
    </w:p>
    <w:p>
      <w:pPr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本报告根据《中华人民共和国政府信息公开条例》（以下简称《条例》）要求，结合2021年枣庄市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人民防空办公室</w:t>
      </w:r>
      <w:r>
        <w:rPr>
          <w:rFonts w:hint="eastAsia" w:ascii="仿宋" w:hAnsi="仿宋" w:eastAsia="仿宋" w:cs="仿宋"/>
          <w:sz w:val="32"/>
          <w:szCs w:val="32"/>
        </w:rPr>
        <w:t>政府信息公开工作实际编制而成。内容包括总体情况、主动公开政府信息情况、收到和处理政府信息公开申请情况、政府信息公开行政复议、行政诉讼情况、存在的主要问题及改进情况、其他需要报告的事项，以及相关指标统计附表、附图等。本年度报告中所列数据统计期限从2021年1月1日到12月31日止。本年度报告电子版可从枣庄市人民政府门户网站（http://www.zaozhuang.gov.cn/）下载。如对本年度报告有疑问，请与枣庄市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人民防空办公室</w:t>
      </w:r>
      <w:r>
        <w:rPr>
          <w:rFonts w:hint="eastAsia" w:ascii="仿宋" w:hAnsi="仿宋" w:eastAsia="仿宋" w:cs="仿宋"/>
          <w:sz w:val="32"/>
          <w:szCs w:val="32"/>
        </w:rPr>
        <w:t>联系（电话:0632—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3302899</w:t>
      </w:r>
      <w:r>
        <w:rPr>
          <w:rFonts w:hint="eastAsia" w:ascii="仿宋" w:hAnsi="仿宋" w:eastAsia="仿宋" w:cs="仿宋"/>
          <w:sz w:val="32"/>
          <w:szCs w:val="32"/>
        </w:rPr>
        <w:t>，电子邮箱:srfbadmin@zz.shandong.cn）。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一、总体情况</w:t>
      </w:r>
    </w:p>
    <w:p>
      <w:pPr>
        <w:numPr>
          <w:ilvl w:val="0"/>
          <w:numId w:val="0"/>
        </w:numPr>
        <w:ind w:firstLine="640" w:firstLineChars="200"/>
        <w:rPr>
          <w:rFonts w:hint="eastAsia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（一）</w:t>
      </w:r>
      <w:r>
        <w:rPr>
          <w:rFonts w:hint="eastAsia" w:ascii="楷体" w:hAnsi="楷体" w:eastAsia="楷体" w:cs="楷体"/>
          <w:sz w:val="32"/>
          <w:szCs w:val="32"/>
        </w:rPr>
        <w:t>主动公开情况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截止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年12月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31日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市人防办通过门户网站公开信息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83条。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0"/>
          <w:szCs w:val="30"/>
          <w:shd w:val="clear" w:fill="FFFFFF"/>
        </w:rPr>
        <w:t>通过市政府信息公开平台发布信息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9条，其中，政策文件信息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5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条，政策解读类信息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条，规划计划类信息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条，会议公开类信息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6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会议解读类信息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12条，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“双随机、一公开”监管信息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7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，重点任务公开承诺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条，建议提案办理信息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条，财政信息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条，行政执法信息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4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组织管理类信息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19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条，网络调查与回应信息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268595" cy="4361180"/>
            <wp:effectExtent l="0" t="0" r="8255" b="1270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5268595" cy="3841750"/>
            <wp:effectExtent l="0" t="0" r="8255" b="6350"/>
            <wp:docPr id="2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（二）</w:t>
      </w:r>
      <w:r>
        <w:rPr>
          <w:rFonts w:hint="eastAsia" w:ascii="楷体" w:hAnsi="楷体" w:eastAsia="楷体" w:cs="楷体"/>
          <w:sz w:val="32"/>
          <w:szCs w:val="32"/>
        </w:rPr>
        <w:t>依申请公开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Chars="0" w:firstLine="640" w:firstLineChars="200"/>
        <w:textAlignment w:val="auto"/>
        <w:rPr>
          <w:rFonts w:hint="eastAsia" w:ascii="楷体" w:hAnsi="楷体" w:eastAsia="楷体" w:cs="楷体"/>
          <w:sz w:val="32"/>
          <w:szCs w:val="32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截止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年12月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31日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，未收到依申请公开申请。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（三）政府信息管理情况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2021年，市人防办深入</w:t>
      </w:r>
      <w:r>
        <w:rPr>
          <w:rFonts w:hint="eastAsia" w:ascii="仿宋" w:hAnsi="仿宋" w:eastAsia="仿宋" w:cs="仿宋"/>
          <w:sz w:val="32"/>
          <w:szCs w:val="32"/>
        </w:rPr>
        <w:t>贯彻落实国家、省、市关于政务公开工作的方针政策，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积极</w:t>
      </w:r>
      <w:r>
        <w:rPr>
          <w:rFonts w:hint="eastAsia" w:ascii="仿宋" w:hAnsi="仿宋" w:eastAsia="仿宋" w:cs="仿宋"/>
          <w:sz w:val="32"/>
          <w:szCs w:val="32"/>
        </w:rPr>
        <w:t>研究制定落实措施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，定期召开政务公开工作培训会议，</w:t>
      </w:r>
      <w:r>
        <w:rPr>
          <w:rFonts w:hint="eastAsia" w:ascii="仿宋" w:hAnsi="仿宋" w:eastAsia="仿宋" w:cs="仿宋"/>
          <w:sz w:val="32"/>
          <w:szCs w:val="32"/>
        </w:rPr>
        <w:t>研究审议全办政务公开工作总体规划，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在市委市政府的带领下不断</w:t>
      </w:r>
      <w:r>
        <w:rPr>
          <w:rFonts w:hint="eastAsia" w:ascii="仿宋" w:hAnsi="仿宋" w:eastAsia="仿宋" w:cs="仿宋"/>
          <w:sz w:val="32"/>
          <w:szCs w:val="32"/>
        </w:rPr>
        <w:t>推进全办政务公开工作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平稳有序开展</w:t>
      </w:r>
      <w:r>
        <w:rPr>
          <w:rFonts w:hint="eastAsia" w:ascii="仿宋" w:hAnsi="仿宋" w:eastAsia="仿宋" w:cs="仿宋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drawing>
          <wp:inline distT="0" distB="0" distL="114300" distR="114300">
            <wp:extent cx="4297680" cy="4709160"/>
            <wp:effectExtent l="0" t="0" r="7620" b="15240"/>
            <wp:docPr id="4" name="图片 4" descr="11111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1111111111111111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470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（四）政府信息公开平台建设情况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年度，市人防办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通过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“枣庄人民防空”微信公众号服务平台发布各类政务信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息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128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条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；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  <w:t>通过“枣庄人民防空”头条账号主动公开政务信息21条。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政务信息公开主要依托于枣庄市政府官方网站发布，在政府统一管理运行，运行情况良好。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2703195" cy="5128260"/>
            <wp:effectExtent l="0" t="0" r="1905" b="15240"/>
            <wp:docPr id="3" name="图片 3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3195" cy="512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drawing>
          <wp:inline distT="0" distB="0" distL="114300" distR="114300">
            <wp:extent cx="3185160" cy="5912485"/>
            <wp:effectExtent l="0" t="0" r="15240" b="12065"/>
            <wp:docPr id="6" name="图片 6" descr="1111111111111111111111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111111111111111111111111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85160" cy="591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（五）</w:t>
      </w:r>
      <w:r>
        <w:rPr>
          <w:rFonts w:hint="eastAsia" w:ascii="楷体" w:hAnsi="楷体" w:eastAsia="楷体" w:cs="楷体"/>
          <w:sz w:val="32"/>
          <w:szCs w:val="32"/>
        </w:rPr>
        <w:t>监督保障情况</w:t>
      </w:r>
    </w:p>
    <w:p>
      <w:pP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   严格按照有关保密规定要求，完善信息审核及发布流程，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</w:rPr>
        <w:t>综合科负责政务信息公开的牵头组织工作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各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科室及成员单位</w:t>
      </w:r>
      <w:r>
        <w:rPr>
          <w:rFonts w:hint="eastAsia" w:ascii="仿宋" w:hAnsi="仿宋" w:eastAsia="仿宋" w:cs="仿宋"/>
          <w:i w:val="0"/>
          <w:iCs w:val="0"/>
          <w:caps w:val="0"/>
          <w:color w:val="333333"/>
          <w:spacing w:val="0"/>
          <w:sz w:val="32"/>
          <w:szCs w:val="32"/>
          <w:shd w:val="clear" w:fill="FFFFFF"/>
        </w:rPr>
        <w:t>之间协调配合，</w:t>
      </w:r>
      <w:r>
        <w:rPr>
          <w:rFonts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shd w:val="clear" w:fill="FFFFFF"/>
        </w:rPr>
        <w:t>确保信息公开工作顺利开展</w:t>
      </w: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eastAsia="zh-CN"/>
        </w:rPr>
        <w:t>。</w:t>
      </w:r>
    </w:p>
    <w:p>
      <w:pP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</w:pPr>
      <w:r>
        <w:rPr>
          <w:rFonts w:hint="eastAsia" w:ascii="仿宋_GB2312" w:hAnsi="宋体" w:eastAsia="仿宋_GB2312" w:cs="仿宋_GB2312"/>
          <w:i w:val="0"/>
          <w:iCs w:val="0"/>
          <w:caps w:val="0"/>
          <w:color w:val="000000"/>
          <w:spacing w:val="0"/>
          <w:sz w:val="31"/>
          <w:szCs w:val="31"/>
          <w:shd w:val="clear" w:fill="FFFFFF"/>
          <w:lang w:val="en-US" w:eastAsia="zh-CN"/>
        </w:rPr>
        <w:drawing>
          <wp:inline distT="0" distB="0" distL="114300" distR="114300">
            <wp:extent cx="5264785" cy="3943985"/>
            <wp:effectExtent l="0" t="0" r="12065" b="18415"/>
            <wp:docPr id="5" name="图片 5" descr="W02021122853221651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0202112285322165163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 w:ascii="黑体" w:hAnsi="黑体" w:eastAsia="黑体" w:cs="黑体"/>
          <w:sz w:val="32"/>
          <w:szCs w:val="32"/>
        </w:rPr>
        <w:t>二、主动公开政府信息情况</w:t>
      </w:r>
    </w:p>
    <w:tbl>
      <w:tblPr>
        <w:tblStyle w:val="3"/>
        <w:tblW w:w="5000" w:type="pct"/>
        <w:jc w:val="center"/>
        <w:tblBorders>
          <w:top w:val="single" w:color="D2D2D2" w:sz="4" w:space="0"/>
          <w:left w:val="single" w:color="D2D2D2" w:sz="4" w:space="0"/>
          <w:bottom w:val="single" w:color="D2D2D2" w:sz="4" w:space="0"/>
          <w:right w:val="single" w:color="D2D2D2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098"/>
        <w:gridCol w:w="2097"/>
        <w:gridCol w:w="2097"/>
        <w:gridCol w:w="2110"/>
      </w:tblGrid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840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6D9F1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第二十条第（一）项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信息内容</w:t>
            </w:r>
          </w:p>
        </w:tc>
        <w:tc>
          <w:tcPr>
            <w:tcW w:w="2097" w:type="dxa"/>
            <w:tcBorders>
              <w:top w:val="single" w:color="D2D2D2" w:sz="4" w:space="0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本年制发件数</w:t>
            </w:r>
          </w:p>
        </w:tc>
        <w:tc>
          <w:tcPr>
            <w:tcW w:w="2097" w:type="dxa"/>
            <w:tcBorders>
              <w:top w:val="single" w:color="D2D2D2" w:sz="4" w:space="0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本年废止件数</w:t>
            </w:r>
          </w:p>
        </w:tc>
        <w:tc>
          <w:tcPr>
            <w:tcW w:w="2110" w:type="dxa"/>
            <w:tcBorders>
              <w:top w:val="single" w:color="D2D2D2" w:sz="4" w:space="0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现行有效件数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规章</w:t>
            </w:r>
          </w:p>
        </w:tc>
        <w:tc>
          <w:tcPr>
            <w:tcW w:w="2097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2097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2110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行政规范性文件</w:t>
            </w:r>
          </w:p>
        </w:tc>
        <w:tc>
          <w:tcPr>
            <w:tcW w:w="2097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2097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2110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8402" w:type="dxa"/>
            <w:gridSpan w:val="4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C6D9F1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第二十条第（五）项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信息内容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本年处理决定数量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行政许可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8402" w:type="dxa"/>
            <w:gridSpan w:val="4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C6D9F1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第二十条第（六）项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信息内容</w:t>
            </w:r>
          </w:p>
        </w:tc>
        <w:tc>
          <w:tcPr>
            <w:tcW w:w="6304" w:type="dxa"/>
            <w:gridSpan w:val="3"/>
            <w:tcBorders>
              <w:top w:val="single" w:color="D2D2D2" w:sz="4" w:space="0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本年处理决定数量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行政处罚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行政强制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8402" w:type="dxa"/>
            <w:gridSpan w:val="4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C6D9F1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第二十条第（八）项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信息内容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本年收费金额（单位：万元）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  <w:jc w:val="center"/>
        </w:trPr>
        <w:tc>
          <w:tcPr>
            <w:tcW w:w="2098" w:type="dxa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行政事业性收费</w:t>
            </w:r>
          </w:p>
        </w:tc>
        <w:tc>
          <w:tcPr>
            <w:tcW w:w="6304" w:type="dxa"/>
            <w:gridSpan w:val="3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</w:tbl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仿宋" w:hAnsi="仿宋" w:eastAsia="仿宋" w:cs="仿宋"/>
        </w:rPr>
      </w:pPr>
      <w:r>
        <w:rPr>
          <w:rFonts w:hint="eastAsia" w:ascii="黑体" w:hAnsi="黑体" w:eastAsia="黑体" w:cs="黑体"/>
          <w:sz w:val="32"/>
          <w:szCs w:val="32"/>
        </w:rPr>
        <w:t>三、收到和处理政府信息公开申请情况</w:t>
      </w:r>
    </w:p>
    <w:p>
      <w:pPr>
        <w:rPr>
          <w:rFonts w:hint="eastAsia"/>
        </w:rPr>
      </w:pPr>
    </w:p>
    <w:tbl>
      <w:tblPr>
        <w:tblStyle w:val="3"/>
        <w:tblW w:w="4956" w:type="pct"/>
        <w:jc w:val="center"/>
        <w:tblBorders>
          <w:top w:val="single" w:color="D2D2D2" w:sz="4" w:space="0"/>
          <w:left w:val="single" w:color="D2D2D2" w:sz="4" w:space="0"/>
          <w:bottom w:val="single" w:color="D2D2D2" w:sz="4" w:space="0"/>
          <w:right w:val="single" w:color="D2D2D2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36"/>
        <w:gridCol w:w="1056"/>
        <w:gridCol w:w="2555"/>
        <w:gridCol w:w="573"/>
        <w:gridCol w:w="574"/>
        <w:gridCol w:w="574"/>
        <w:gridCol w:w="574"/>
        <w:gridCol w:w="574"/>
        <w:gridCol w:w="574"/>
        <w:gridCol w:w="574"/>
      </w:tblGrid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36" w:type="dxa"/>
            <w:gridSpan w:val="3"/>
            <w:vMerge w:val="restart"/>
            <w:tcBorders>
              <w:top w:val="single" w:color="auto" w:sz="4" w:space="0"/>
              <w:left w:val="single" w:color="auto" w:sz="4" w:space="0"/>
              <w:bottom w:val="outset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（本列数据的勾稽关系为：第一项加第二项之和，等于第三项加第四项之和）</w:t>
            </w:r>
          </w:p>
        </w:tc>
        <w:tc>
          <w:tcPr>
            <w:tcW w:w="4165" w:type="dxa"/>
            <w:gridSpan w:val="7"/>
            <w:tcBorders>
              <w:top w:val="single" w:color="D2D2D2" w:sz="4" w:space="0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申请人情况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36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outset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95" w:type="dxa"/>
            <w:vMerge w:val="restart"/>
            <w:tcBorders>
              <w:top w:val="single" w:color="auto" w:sz="0" w:space="0"/>
              <w:left w:val="single" w:color="auto" w:sz="0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自然人</w:t>
            </w:r>
          </w:p>
        </w:tc>
        <w:tc>
          <w:tcPr>
            <w:tcW w:w="2975" w:type="dxa"/>
            <w:gridSpan w:val="5"/>
            <w:tcBorders>
              <w:top w:val="single" w:color="D2D2D2" w:sz="4" w:space="0"/>
              <w:left w:val="single" w:color="auto" w:sz="0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法人或其他组织</w:t>
            </w:r>
          </w:p>
        </w:tc>
        <w:tc>
          <w:tcPr>
            <w:tcW w:w="595" w:type="dxa"/>
            <w:vMerge w:val="restart"/>
            <w:tcBorders>
              <w:top w:val="single" w:color="D2D2D2" w:sz="4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总计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36" w:type="dxa"/>
            <w:gridSpan w:val="3"/>
            <w:vMerge w:val="continue"/>
            <w:tcBorders>
              <w:top w:val="single" w:color="auto" w:sz="4" w:space="0"/>
              <w:left w:val="single" w:color="auto" w:sz="4" w:space="0"/>
              <w:bottom w:val="outset" w:color="auto" w:sz="4" w:space="0"/>
              <w:right w:val="single" w:color="auto" w:sz="4" w:space="0"/>
            </w:tcBorders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95" w:type="dxa"/>
            <w:vMerge w:val="continue"/>
            <w:tcBorders>
              <w:top w:val="single" w:color="auto" w:sz="0" w:space="0"/>
              <w:left w:val="single" w:color="auto" w:sz="0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商业</w:t>
            </w:r>
          </w:p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企业</w:t>
            </w: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科研</w:t>
            </w:r>
          </w:p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机构</w:t>
            </w:r>
          </w:p>
        </w:tc>
        <w:tc>
          <w:tcPr>
            <w:tcW w:w="595" w:type="dxa"/>
            <w:tcBorders>
              <w:top w:val="single" w:color="D2D2D2" w:sz="4" w:space="0"/>
              <w:left w:val="single" w:color="auto" w:sz="0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社会公益组织</w:t>
            </w:r>
          </w:p>
        </w:tc>
        <w:tc>
          <w:tcPr>
            <w:tcW w:w="595" w:type="dxa"/>
            <w:tcBorders>
              <w:top w:val="single" w:color="D2D2D2" w:sz="4" w:space="0"/>
              <w:left w:val="single" w:color="auto" w:sz="0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法律服务机构</w:t>
            </w:r>
          </w:p>
        </w:tc>
        <w:tc>
          <w:tcPr>
            <w:tcW w:w="595" w:type="dxa"/>
            <w:tcBorders>
              <w:top w:val="single" w:color="D2D2D2" w:sz="4" w:space="0"/>
              <w:left w:val="single" w:color="auto" w:sz="0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其他</w:t>
            </w:r>
          </w:p>
        </w:tc>
        <w:tc>
          <w:tcPr>
            <w:tcW w:w="595" w:type="dxa"/>
            <w:vMerge w:val="continue"/>
            <w:tcBorders>
              <w:top w:val="single" w:color="D2D2D2" w:sz="4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36" w:type="dxa"/>
            <w:gridSpan w:val="3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一、本年新收政府信息公开申请数量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36" w:type="dxa"/>
            <w:gridSpan w:val="3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二、上年结转政府信息公开申请数量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restart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三、本年度办理结果</w:t>
            </w: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（一）予以公开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D2D2D2" w:sz="4" w:space="0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（二）部分公开（区分处理的，只计这一情形，不计其他情形）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（三）不予公开</w:t>
            </w: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1.属于国家秘密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D2D2D2" w:sz="4" w:space="0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2.其他法律行政法规禁止公开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3.危及“三安全一稳定”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4.保护第三方合法权益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5.属于三类内部事务信息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6.属于四类过程性信息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7.属于行政执法案卷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8.属于行政查询事项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（四）无法提供</w:t>
            </w: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1.本机关不掌握相关政府信息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2.没有现成信息需要另行制作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3.补正后申请内容仍不明确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restart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（五）不予处理</w:t>
            </w: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1.信访举报投诉类申请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2.重复申请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3.要求提供公开出版物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4.无正当理由大量反复申请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5.要求行政机关确认或重新出具已获取信息</w:t>
            </w: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single" w:color="auto" w:sz="0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restart"/>
            <w:tcBorders>
              <w:top w:val="outset" w:color="D2D2D2" w:sz="4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（六）其他处理</w:t>
            </w: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1.申请人无正当理由逾期不补正、行政机关不再处理其政府信息公开申请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outset" w:color="D2D2D2" w:sz="4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2.申请人逾期未按收费通知要求缴纳费用、行政机关不再处理其政府信息公开申请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792" w:type="dxa"/>
            <w:vMerge w:val="continue"/>
            <w:tcBorders>
              <w:top w:val="outset" w:color="D2D2D2" w:sz="4" w:space="0"/>
              <w:left w:val="single" w:color="auto" w:sz="0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2801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3.其他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643" w:type="dxa"/>
            <w:vMerge w:val="continue"/>
            <w:tcBorders>
              <w:top w:val="single" w:color="auto" w:sz="0" w:space="0"/>
              <w:left w:val="single" w:color="D2D2D2" w:sz="4" w:space="0"/>
              <w:bottom w:val="outset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3593" w:type="dxa"/>
            <w:gridSpan w:val="2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（七）总计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  <w:tr>
        <w:tblPrEx>
          <w:tblBorders>
            <w:top w:val="single" w:color="D2D2D2" w:sz="4" w:space="0"/>
            <w:left w:val="single" w:color="D2D2D2" w:sz="4" w:space="0"/>
            <w:bottom w:val="single" w:color="D2D2D2" w:sz="4" w:space="0"/>
            <w:right w:val="single" w:color="D2D2D2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4236" w:type="dxa"/>
            <w:gridSpan w:val="3"/>
            <w:tcBorders>
              <w:top w:val="nil"/>
              <w:left w:val="single" w:color="D2D2D2" w:sz="4" w:space="0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四、结转下年度继续办理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95" w:type="dxa"/>
            <w:tcBorders>
              <w:top w:val="nil"/>
              <w:left w:val="nil"/>
              <w:bottom w:val="single" w:color="D2D2D2" w:sz="4" w:space="0"/>
              <w:right w:val="single" w:color="D2D2D2" w:sz="4" w:space="0"/>
            </w:tcBorders>
            <w:shd w:val="clear" w:color="auto" w:fill="auto"/>
            <w:noWrap w:val="0"/>
            <w:tcMar>
              <w:left w:w="48" w:type="dxa"/>
              <w:right w:w="48" w:type="dxa"/>
            </w:tcMar>
            <w:vAlign w:val="top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</w:tbl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四、政府信息公开行政复议、行政诉讼情况</w:t>
      </w:r>
    </w:p>
    <w:p>
      <w:pPr>
        <w:rPr>
          <w:rFonts w:hint="eastAsia"/>
        </w:rPr>
      </w:pPr>
    </w:p>
    <w:tbl>
      <w:tblPr>
        <w:tblStyle w:val="3"/>
        <w:tblW w:w="500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564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  <w:gridCol w:w="5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2824" w:type="dxa"/>
            <w:gridSpan w:val="5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行政复议</w:t>
            </w:r>
          </w:p>
        </w:tc>
        <w:tc>
          <w:tcPr>
            <w:tcW w:w="5650" w:type="dxa"/>
            <w:gridSpan w:val="10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行政诉讼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4" w:type="dxa"/>
            <w:vMerge w:val="restart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结果维持</w:t>
            </w:r>
          </w:p>
        </w:tc>
        <w:tc>
          <w:tcPr>
            <w:tcW w:w="565" w:type="dxa"/>
            <w:vMerge w:val="restart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结果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纠正</w:t>
            </w:r>
          </w:p>
        </w:tc>
        <w:tc>
          <w:tcPr>
            <w:tcW w:w="565" w:type="dxa"/>
            <w:vMerge w:val="restart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其他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结果</w:t>
            </w:r>
          </w:p>
        </w:tc>
        <w:tc>
          <w:tcPr>
            <w:tcW w:w="565" w:type="dxa"/>
            <w:vMerge w:val="restart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尚未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审结</w:t>
            </w:r>
          </w:p>
        </w:tc>
        <w:tc>
          <w:tcPr>
            <w:tcW w:w="565" w:type="dxa"/>
            <w:vMerge w:val="restart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总计</w:t>
            </w:r>
          </w:p>
        </w:tc>
        <w:tc>
          <w:tcPr>
            <w:tcW w:w="2825" w:type="dxa"/>
            <w:gridSpan w:val="5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未经复议直接起诉</w:t>
            </w:r>
          </w:p>
        </w:tc>
        <w:tc>
          <w:tcPr>
            <w:tcW w:w="2825" w:type="dxa"/>
            <w:gridSpan w:val="5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复议后起诉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564" w:type="dxa"/>
            <w:vMerge w:val="continue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65" w:type="dxa"/>
            <w:vMerge w:val="continue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65" w:type="dxa"/>
            <w:vMerge w:val="continue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65" w:type="dxa"/>
            <w:vMerge w:val="continue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65" w:type="dxa"/>
            <w:vMerge w:val="continue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结果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维持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结果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纠正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其他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结果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尚未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审结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总计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结果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维持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结果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纠正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其他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结果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尚未</w:t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br w:type="textWrapping"/>
            </w:r>
            <w:r>
              <w:rPr>
                <w:rFonts w:hint="eastAsia" w:ascii="仿宋" w:hAnsi="仿宋" w:eastAsia="仿宋" w:cs="仿宋"/>
                <w:sz w:val="32"/>
                <w:szCs w:val="32"/>
              </w:rPr>
              <w:t>审结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总计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  <w:jc w:val="center"/>
        </w:trPr>
        <w:tc>
          <w:tcPr>
            <w:tcW w:w="564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  <w:tc>
          <w:tcPr>
            <w:tcW w:w="565" w:type="dxa"/>
            <w:shd w:val="clear" w:color="auto" w:fill="auto"/>
            <w:noWrap w:val="0"/>
            <w:tcMar>
              <w:left w:w="84" w:type="dxa"/>
              <w:right w:w="84" w:type="dxa"/>
            </w:tcMar>
            <w:vAlign w:val="center"/>
          </w:tcPr>
          <w:p>
            <w:pP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  <w:lang w:val="en-US" w:eastAsia="zh-CN"/>
              </w:rPr>
              <w:t>0</w:t>
            </w:r>
          </w:p>
        </w:tc>
      </w:tr>
    </w:tbl>
    <w:p>
      <w:pPr>
        <w:rPr>
          <w:rFonts w:hint="eastAsia" w:ascii="黑体" w:hAnsi="黑体" w:eastAsia="黑体" w:cs="黑体"/>
          <w:sz w:val="32"/>
          <w:szCs w:val="32"/>
        </w:rPr>
      </w:pP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五、存在的主要问题及改进情况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（一）存在的主要问题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1.部门文件公开数量较少。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2.部分科室、单位政务公开意识有待提高，积极性有待加强。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3.信息公开不及时，部分信息更新时间稍有滞后。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（二）改进情况及下一步工作打算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楷体" w:hAnsi="楷体" w:eastAsia="楷体" w:cs="楷体"/>
          <w:sz w:val="30"/>
          <w:szCs w:val="30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围绕上述问题，下一步市人防办将积极改进。一是提高部门文件公开数量，确保公开文件的规范性。二是提高思想认识，加强部门内部政务公开业务培训。三是及时更新各类政务信息，及时回应网上留言，加强人防知识的宣传教育。</w:t>
      </w:r>
    </w:p>
    <w:p>
      <w:pPr>
        <w:numPr>
          <w:ilvl w:val="0"/>
          <w:numId w:val="0"/>
        </w:numPr>
        <w:ind w:firstLine="640" w:firstLineChars="200"/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六、</w:t>
      </w:r>
      <w:r>
        <w:rPr>
          <w:rFonts w:hint="eastAsia" w:ascii="黑体" w:hAnsi="黑体" w:eastAsia="黑体" w:cs="黑体"/>
          <w:sz w:val="32"/>
          <w:szCs w:val="32"/>
        </w:rPr>
        <w:t>其他需要报告的事项</w:t>
      </w:r>
    </w:p>
    <w:p>
      <w:pPr>
        <w:ind w:firstLine="640" w:firstLineChars="200"/>
        <w:rPr>
          <w:rFonts w:hint="eastAsia" w:ascii="楷体" w:hAnsi="楷体" w:eastAsia="楷体" w:cs="楷体"/>
          <w:sz w:val="32"/>
          <w:szCs w:val="32"/>
        </w:rPr>
      </w:pPr>
      <w:r>
        <w:rPr>
          <w:rFonts w:hint="eastAsia" w:ascii="楷体" w:hAnsi="楷体" w:eastAsia="楷体" w:cs="楷体"/>
          <w:sz w:val="32"/>
          <w:szCs w:val="32"/>
        </w:rPr>
        <w:t>（一）2021年建议提案办理总体情况</w:t>
      </w:r>
    </w:p>
    <w:p>
      <w:pPr>
        <w:ind w:firstLine="640" w:firstLineChars="200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202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年，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lang w:eastAsia="zh-CN"/>
        </w:rPr>
        <w:t>市人防办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</w:rPr>
        <w:t>共承办人大代表建议0件，承办政协提案0件。</w:t>
      </w:r>
    </w:p>
    <w:p>
      <w:pPr>
        <w:numPr>
          <w:ilvl w:val="0"/>
          <w:numId w:val="0"/>
        </w:numPr>
        <w:ind w:leftChars="0" w:firstLine="640" w:firstLineChars="200"/>
        <w:rPr>
          <w:rFonts w:hint="eastAsia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sz w:val="32"/>
          <w:szCs w:val="32"/>
          <w:lang w:eastAsia="zh-CN"/>
        </w:rPr>
        <w:t>（二）</w:t>
      </w:r>
      <w:r>
        <w:rPr>
          <w:rFonts w:hint="eastAsia" w:ascii="楷体" w:hAnsi="楷体" w:eastAsia="楷体" w:cs="楷体"/>
          <w:sz w:val="32"/>
          <w:szCs w:val="32"/>
        </w:rPr>
        <w:t>政府信息公开信息处理费情况</w:t>
      </w:r>
    </w:p>
    <w:p>
      <w:pPr>
        <w:numPr>
          <w:ilvl w:val="0"/>
          <w:numId w:val="0"/>
        </w:numPr>
        <w:ind w:leftChars="0" w:firstLine="640" w:firstLineChars="200"/>
        <w:rPr>
          <w:rFonts w:hint="default" w:ascii="楷体" w:hAnsi="楷体" w:eastAsia="楷体" w:cs="楷体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2021年度市人防办未收取政府信息公开信息处理费。</w:t>
      </w:r>
    </w:p>
    <w:p>
      <w:pPr>
        <w:numPr>
          <w:ilvl w:val="0"/>
          <w:numId w:val="0"/>
        </w:numPr>
        <w:ind w:leftChars="0"/>
        <w:rPr>
          <w:rFonts w:hint="eastAsia" w:ascii="楷体" w:hAnsi="楷体" w:eastAsia="楷体" w:cs="楷体"/>
          <w:sz w:val="30"/>
          <w:szCs w:val="30"/>
        </w:rPr>
      </w:pPr>
    </w:p>
    <w:p>
      <w:pPr>
        <w:numPr>
          <w:ilvl w:val="0"/>
          <w:numId w:val="0"/>
        </w:numPr>
        <w:ind w:leftChars="0"/>
        <w:jc w:val="right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枣庄市人民防空办公室</w:t>
      </w:r>
    </w:p>
    <w:p>
      <w:pPr>
        <w:numPr>
          <w:ilvl w:val="0"/>
          <w:numId w:val="0"/>
        </w:numPr>
        <w:ind w:leftChars="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2022年1月14日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162"/>
    <w:rsid w:val="00124162"/>
    <w:rsid w:val="0A120C5F"/>
    <w:rsid w:val="13F5749E"/>
    <w:rsid w:val="29551797"/>
    <w:rsid w:val="34D50066"/>
    <w:rsid w:val="3D766DBD"/>
    <w:rsid w:val="429B5341"/>
    <w:rsid w:val="49363FCD"/>
    <w:rsid w:val="582616CC"/>
    <w:rsid w:val="5B0D6C98"/>
    <w:rsid w:val="5ED52E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paragraph" w:styleId="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2038</Words>
  <Characters>2168</Characters>
  <Lines>0</Lines>
  <Paragraphs>0</Paragraphs>
  <TotalTime>77</TotalTime>
  <ScaleCrop>false</ScaleCrop>
  <LinksUpToDate>false</LinksUpToDate>
  <CharactersWithSpaces>2171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2022-01-13T07:20:00Z</dcterms:created>
  <dc:creator>_俗</dc:creator>
  <cp:lastModifiedBy>_俗</cp:lastModifiedBy>
  <dcterms:modified xsi:type="dcterms:W3CDTF">2022-03-14T01:57:06Z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E85059EBBF604E7582207CBD262F8D27</vt:lpwstr>
  </property>
</Properties>
</file>