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333333"/>
          <w:sz w:val="32"/>
          <w:szCs w:val="32"/>
        </w:rPr>
      </w:pPr>
      <w:r>
        <w:rPr>
          <w:rFonts w:hint="eastAsia" w:ascii="黑体" w:hAnsi="黑体" w:eastAsia="黑体"/>
          <w:color w:val="333333"/>
          <w:sz w:val="32"/>
          <w:szCs w:val="32"/>
        </w:rPr>
        <w:t>附件：</w:t>
      </w:r>
    </w:p>
    <w:p>
      <w:pPr>
        <w:ind w:firstLine="4140" w:firstLineChars="1150"/>
        <w:rPr>
          <w:rFonts w:ascii="方正小标宋简体" w:hAnsi="仿宋" w:eastAsia="方正小标宋简体"/>
          <w:color w:val="333333"/>
          <w:sz w:val="36"/>
          <w:szCs w:val="36"/>
        </w:rPr>
      </w:pPr>
      <w:r>
        <w:rPr>
          <w:rFonts w:hint="eastAsia" w:ascii="方正小标宋简体" w:hAnsi="仿宋" w:eastAsia="方正小标宋简体"/>
          <w:color w:val="333333"/>
          <w:sz w:val="36"/>
          <w:szCs w:val="36"/>
        </w:rPr>
        <w:t>市人防办开展“大学习、大调研、大改进”</w:t>
      </w:r>
    </w:p>
    <w:p>
      <w:pPr>
        <w:ind w:firstLine="1620" w:firstLineChars="450"/>
        <w:rPr>
          <w:rFonts w:ascii="方正小标宋简体" w:hAnsi="仿宋" w:eastAsia="方正小标宋简体"/>
          <w:color w:val="333333"/>
          <w:sz w:val="36"/>
          <w:szCs w:val="36"/>
        </w:rPr>
      </w:pPr>
      <w:r>
        <w:rPr>
          <w:rFonts w:hint="eastAsia" w:ascii="方正小标宋简体" w:hAnsi="仿宋" w:eastAsia="方正小标宋简体"/>
          <w:color w:val="333333"/>
          <w:sz w:val="36"/>
          <w:szCs w:val="36"/>
        </w:rPr>
        <w:t>和“不讨论、不守旧、不懈怠、不推诿”解放思想、担当作为大讨论排档表</w:t>
      </w:r>
    </w:p>
    <w:tbl>
      <w:tblPr>
        <w:tblStyle w:val="6"/>
        <w:tblW w:w="1456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134"/>
        <w:gridCol w:w="8788"/>
        <w:gridCol w:w="2694"/>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rPr>
                <w:rFonts w:ascii="黑体" w:hAnsi="黑体" w:eastAsia="黑体"/>
                <w:sz w:val="32"/>
                <w:szCs w:val="32"/>
              </w:rPr>
            </w:pPr>
            <w:r>
              <w:rPr>
                <w:rFonts w:hint="eastAsia" w:ascii="黑体" w:hAnsi="黑体" w:eastAsia="黑体"/>
                <w:sz w:val="32"/>
                <w:szCs w:val="32"/>
              </w:rPr>
              <w:t>序号</w:t>
            </w:r>
          </w:p>
        </w:tc>
        <w:tc>
          <w:tcPr>
            <w:tcW w:w="1134" w:type="dxa"/>
          </w:tcPr>
          <w:p>
            <w:pPr>
              <w:rPr>
                <w:rFonts w:ascii="黑体" w:hAnsi="黑体" w:eastAsia="黑体"/>
                <w:sz w:val="32"/>
                <w:szCs w:val="32"/>
              </w:rPr>
            </w:pPr>
            <w:r>
              <w:rPr>
                <w:rFonts w:hint="eastAsia" w:ascii="黑体" w:hAnsi="黑体" w:eastAsia="黑体"/>
                <w:sz w:val="32"/>
                <w:szCs w:val="32"/>
              </w:rPr>
              <w:t xml:space="preserve"> 时间</w:t>
            </w:r>
          </w:p>
        </w:tc>
        <w:tc>
          <w:tcPr>
            <w:tcW w:w="8788" w:type="dxa"/>
          </w:tcPr>
          <w:p>
            <w:pPr>
              <w:ind w:firstLine="1920" w:firstLineChars="600"/>
              <w:rPr>
                <w:rFonts w:ascii="黑体" w:hAnsi="黑体" w:eastAsia="黑体"/>
                <w:sz w:val="32"/>
                <w:szCs w:val="32"/>
              </w:rPr>
            </w:pPr>
            <w:r>
              <w:rPr>
                <w:rFonts w:hint="eastAsia" w:ascii="黑体" w:hAnsi="黑体" w:eastAsia="黑体"/>
                <w:sz w:val="32"/>
                <w:szCs w:val="32"/>
              </w:rPr>
              <w:t xml:space="preserve">           事  项</w:t>
            </w:r>
          </w:p>
        </w:tc>
        <w:tc>
          <w:tcPr>
            <w:tcW w:w="2694" w:type="dxa"/>
          </w:tcPr>
          <w:p>
            <w:pPr>
              <w:ind w:firstLine="480" w:firstLineChars="150"/>
              <w:rPr>
                <w:rFonts w:ascii="黑体" w:hAnsi="黑体" w:eastAsia="黑体"/>
                <w:sz w:val="32"/>
                <w:szCs w:val="32"/>
              </w:rPr>
            </w:pPr>
            <w:r>
              <w:rPr>
                <w:rFonts w:hint="eastAsia" w:ascii="黑体" w:hAnsi="黑体" w:eastAsia="黑体"/>
                <w:sz w:val="32"/>
                <w:szCs w:val="32"/>
              </w:rPr>
              <w:t>责任单位</w:t>
            </w:r>
          </w:p>
        </w:tc>
        <w:tc>
          <w:tcPr>
            <w:tcW w:w="992" w:type="dxa"/>
          </w:tcPr>
          <w:p>
            <w:pPr>
              <w:rPr>
                <w:rFonts w:ascii="黑体" w:hAnsi="黑体" w:eastAsia="黑体"/>
                <w:sz w:val="32"/>
                <w:szCs w:val="32"/>
              </w:rPr>
            </w:pPr>
            <w:r>
              <w:rPr>
                <w:rFonts w:hint="eastAsia" w:ascii="黑体" w:hAnsi="黑体" w:eastAsia="黑体"/>
                <w:sz w:val="32"/>
                <w:szCs w:val="32"/>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jc w:val="center"/>
              <w:rPr>
                <w:rFonts w:hint="eastAsia" w:ascii="仿宋_GB2312" w:hAnsi="仿宋_GB2312" w:eastAsia="仿宋_GB2312" w:cs="仿宋_GB2312"/>
                <w:b/>
                <w:sz w:val="24"/>
                <w:szCs w:val="24"/>
              </w:rPr>
            </w:pPr>
          </w:p>
          <w:p>
            <w:pPr>
              <w:jc w:val="center"/>
              <w:rPr>
                <w:rFonts w:hint="eastAsia" w:ascii="仿宋_GB2312" w:hAnsi="仿宋_GB2312" w:eastAsia="仿宋_GB2312" w:cs="仿宋_GB2312"/>
                <w:b/>
                <w:sz w:val="24"/>
                <w:szCs w:val="24"/>
              </w:rPr>
            </w:pPr>
          </w:p>
          <w:p>
            <w:pPr>
              <w:jc w:val="center"/>
              <w:rPr>
                <w:rFonts w:hint="eastAsia" w:ascii="仿宋_GB2312" w:hAnsi="仿宋_GB2312" w:eastAsia="仿宋_GB2312" w:cs="仿宋_GB2312"/>
                <w:b/>
                <w:sz w:val="24"/>
                <w:szCs w:val="24"/>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w:t>
            </w:r>
          </w:p>
        </w:tc>
        <w:tc>
          <w:tcPr>
            <w:tcW w:w="1134" w:type="dxa"/>
          </w:tcPr>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3、4月份</w:t>
            </w:r>
          </w:p>
        </w:tc>
        <w:tc>
          <w:tcPr>
            <w:tcW w:w="878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个人自学计划，每周至少拿出1天时间个人自学，以十九大报告、党章和《习近平谈治国理政》第一、二卷为基本学习材料，重点学习十九大、十九届一中、二中、三中全会精神和习近平总书记系列重要讲话精神、治国理政新理念新思想新战略及党章，深入学习</w:t>
            </w:r>
            <w:bookmarkStart w:id="0" w:name="_GoBack"/>
            <w:bookmarkEnd w:id="0"/>
            <w:r>
              <w:rPr>
                <w:rFonts w:hint="eastAsia" w:ascii="仿宋_GB2312" w:hAnsi="仿宋_GB2312" w:eastAsia="仿宋_GB2312" w:cs="仿宋_GB2312"/>
                <w:sz w:val="24"/>
                <w:szCs w:val="24"/>
              </w:rPr>
              <w:t>全国“两会”精神和习总书记参加十三届全国人大一次会议山东代表团审议时作出的重要指示精神，认真学习贯彻落实省委、省政府关于全面展开新旧动能转换重大工程的部署要求和全市加快新旧动能转换推动创新发展动员大会精神。</w:t>
            </w:r>
          </w:p>
        </w:tc>
        <w:tc>
          <w:tcPr>
            <w:tcW w:w="2694" w:type="dxa"/>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党组成员、副调研员、各党支部书记</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2" w:hRule="atLeast"/>
        </w:trPr>
        <w:tc>
          <w:tcPr>
            <w:tcW w:w="959"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3、4月份</w:t>
            </w:r>
          </w:p>
        </w:tc>
        <w:tc>
          <w:tcPr>
            <w:tcW w:w="878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党组理论学习中心组每月开展1次集体学习研讨。</w:t>
            </w:r>
          </w:p>
        </w:tc>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机关党委</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8" w:hRule="atLeast"/>
        </w:trPr>
        <w:tc>
          <w:tcPr>
            <w:tcW w:w="959" w:type="dxa"/>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w:t>
            </w:r>
          </w:p>
        </w:tc>
        <w:tc>
          <w:tcPr>
            <w:tcW w:w="1134" w:type="dxa"/>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3、4月份</w:t>
            </w:r>
          </w:p>
        </w:tc>
        <w:tc>
          <w:tcPr>
            <w:tcW w:w="878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班子成员每月参加1次所在党支部集中学习研讨。</w:t>
            </w:r>
          </w:p>
        </w:tc>
        <w:tc>
          <w:tcPr>
            <w:tcW w:w="269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党组成员、副调研员</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4</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4月上旬</w:t>
            </w:r>
          </w:p>
        </w:tc>
        <w:tc>
          <w:tcPr>
            <w:tcW w:w="8788"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班子成员按照职责分工，每人确定1个调研题目，亲自带队开展基层大调研，并主持撰写1篇高质量的调研报告。党组书记、主任董金龙调研题目《聚合力 补短板 努力开创全市人防工作新局面》，党组成员、副主任李海涛调研题目《强党建 转作风 进一步强化人防队伍建设》，党组成员、副主任韩群调研题目《提质增量 推动全市人防工程建设实现新跨越》，党组成员、副主任王继启调研题目《发挥人防指挥平台作用 努力服务全市经济社会发展》，副调研员卞芳调研题目《深化放管服改革 努力提升人防行政审批服务效能》。机关各科及直属事业单位也要结合各自职能确定1个调研题目，开展调研并撰写高质量的调研报告。</w:t>
            </w:r>
          </w:p>
        </w:tc>
        <w:tc>
          <w:tcPr>
            <w:tcW w:w="2694" w:type="dxa"/>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党组成员、副调研员、机关各科及直属事业单位主要负责人</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7" w:hRule="atLeast"/>
        </w:trPr>
        <w:tc>
          <w:tcPr>
            <w:tcW w:w="959"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4月上旬</w:t>
            </w:r>
          </w:p>
        </w:tc>
        <w:tc>
          <w:tcPr>
            <w:tcW w:w="87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围绕开展好“不忘初心、牢记使命”主题教育，针对我市人防建设军民融合发展中</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存在的弱项短板，组织开展专题调研，研究制定具体改进措施。</w:t>
            </w:r>
          </w:p>
        </w:tc>
        <w:tc>
          <w:tcPr>
            <w:tcW w:w="2694"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党组成员、副调研员</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99" w:hRule="atLeast"/>
        </w:trPr>
        <w:tc>
          <w:tcPr>
            <w:tcW w:w="959"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6</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4月中旬前</w:t>
            </w:r>
          </w:p>
        </w:tc>
        <w:tc>
          <w:tcPr>
            <w:tcW w:w="87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按照“五个聚焦”要求，结合职责分工，对大学习、大调研中发现的问题进行认真梳理，列出市人防办需要解决的问题清单和具体表现，切实把问题找准找实找具体。</w:t>
            </w:r>
          </w:p>
        </w:tc>
        <w:tc>
          <w:tcPr>
            <w:tcW w:w="2694" w:type="dxa"/>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党组成员、副调研员、机关各科及直属事业单位主要负责人</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113" w:hRule="atLeast"/>
        </w:trPr>
        <w:tc>
          <w:tcPr>
            <w:tcW w:w="959"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7</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4月底前</w:t>
            </w:r>
          </w:p>
        </w:tc>
        <w:tc>
          <w:tcPr>
            <w:tcW w:w="878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党组适时召开解放思想、担当作为务虚会，围绕“四不”深入查摆学习贯彻习近平新时代中国特色社会主义思想、践行初心使命、推动全市人防建设高质量发展等方面存在的差距与不足，结合落实全省全面展开新旧动能转换重大工程部署要求和全市加快新旧动能转换推动创新发展动员大会精神，分析把握自身优势，找准理清</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人防工作弱项短板，明确工作目标和努力方向。</w:t>
            </w:r>
          </w:p>
        </w:tc>
        <w:tc>
          <w:tcPr>
            <w:tcW w:w="2694" w:type="dxa"/>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工作领导小组</w:t>
            </w:r>
          </w:p>
        </w:tc>
        <w:tc>
          <w:tcPr>
            <w:tcW w:w="992" w:type="dxa"/>
          </w:tcPr>
          <w:p>
            <w:pPr>
              <w:rPr>
                <w:rFonts w:hint="eastAsia" w:ascii="仿宋_GB2312" w:hAnsi="仿宋_GB2312" w:eastAsia="仿宋_GB2312" w:cs="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5" w:hRule="atLeast"/>
        </w:trPr>
        <w:tc>
          <w:tcPr>
            <w:tcW w:w="959"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8</w:t>
            </w:r>
          </w:p>
        </w:tc>
        <w:tc>
          <w:tcPr>
            <w:tcW w:w="11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4月底前</w:t>
            </w:r>
          </w:p>
        </w:tc>
        <w:tc>
          <w:tcPr>
            <w:tcW w:w="8788"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梳理调研排查发现的问题情况，制定整改措施，集中抓好整改。</w:t>
            </w:r>
          </w:p>
        </w:tc>
        <w:tc>
          <w:tcPr>
            <w:tcW w:w="269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工作领导小组、机关各</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科及直属事业单位</w:t>
            </w:r>
          </w:p>
        </w:tc>
        <w:tc>
          <w:tcPr>
            <w:tcW w:w="992" w:type="dxa"/>
          </w:tcPr>
          <w:p>
            <w:pPr>
              <w:rPr>
                <w:rFonts w:hint="eastAsia" w:ascii="仿宋_GB2312" w:hAnsi="仿宋_GB2312" w:eastAsia="仿宋_GB2312" w:cs="仿宋_GB2312"/>
                <w:sz w:val="24"/>
                <w:szCs w:val="24"/>
              </w:rPr>
            </w:pPr>
          </w:p>
        </w:tc>
      </w:tr>
    </w:tbl>
    <w:p>
      <w:pPr>
        <w:ind w:left="1200" w:hanging="1200" w:hangingChars="500"/>
        <w:rPr>
          <w:rFonts w:hint="eastAsia" w:ascii="仿宋_GB2312" w:hAnsi="仿宋_GB2312" w:eastAsia="仿宋_GB2312" w:cs="仿宋_GB2312"/>
          <w:sz w:val="24"/>
          <w:szCs w:val="24"/>
        </w:rPr>
      </w:pPr>
    </w:p>
    <w:p>
      <w:pPr>
        <w:rPr>
          <w:rFonts w:hint="eastAsia" w:ascii="仿宋_GB2312" w:hAnsi="仿宋_GB2312" w:eastAsia="仿宋_GB2312" w:cs="仿宋_GB2312"/>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1"/>
                    <w:szCs w:val="28"/>
                    <w:lang w:eastAsia="zh-CN"/>
                  </w:rPr>
                  <w:fldChar w:fldCharType="begin"/>
                </w:r>
                <w:r>
                  <w:rPr>
                    <w:rFonts w:hint="eastAsia" w:ascii="仿宋_GB2312" w:hAnsi="仿宋_GB2312" w:eastAsia="仿宋_GB2312" w:cs="仿宋_GB2312"/>
                    <w:sz w:val="21"/>
                    <w:szCs w:val="28"/>
                    <w:lang w:eastAsia="zh-CN"/>
                  </w:rPr>
                  <w:instrText xml:space="preserve"> PAGE  \* MERGEFORMAT </w:instrText>
                </w:r>
                <w:r>
                  <w:rPr>
                    <w:rFonts w:hint="eastAsia" w:ascii="仿宋_GB2312" w:hAnsi="仿宋_GB2312" w:eastAsia="仿宋_GB2312" w:cs="仿宋_GB2312"/>
                    <w:sz w:val="21"/>
                    <w:szCs w:val="28"/>
                    <w:lang w:eastAsia="zh-CN"/>
                  </w:rPr>
                  <w:fldChar w:fldCharType="separate"/>
                </w:r>
                <w:r>
                  <w:rPr>
                    <w:rFonts w:hint="eastAsia" w:ascii="仿宋_GB2312" w:hAnsi="仿宋_GB2312" w:eastAsia="仿宋_GB2312" w:cs="仿宋_GB2312"/>
                    <w:sz w:val="21"/>
                    <w:szCs w:val="28"/>
                    <w:lang w:eastAsia="zh-CN"/>
                  </w:rPr>
                  <w:t>1</w:t>
                </w:r>
                <w:r>
                  <w:rPr>
                    <w:rFonts w:hint="eastAsia" w:ascii="仿宋_GB2312" w:hAnsi="仿宋_GB2312" w:eastAsia="仿宋_GB2312" w:cs="仿宋_GB2312"/>
                    <w:sz w:val="21"/>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62062"/>
    <w:rsid w:val="002372F6"/>
    <w:rsid w:val="00340AB2"/>
    <w:rsid w:val="008559AF"/>
    <w:rsid w:val="0090761C"/>
    <w:rsid w:val="00946552"/>
    <w:rsid w:val="00B62062"/>
    <w:rsid w:val="00C353DB"/>
    <w:rsid w:val="00C7705C"/>
    <w:rsid w:val="00E53B71"/>
    <w:rsid w:val="00E817A7"/>
    <w:rsid w:val="44A0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Words>
  <Characters>1014</Characters>
  <Lines>8</Lines>
  <Paragraphs>2</Paragraphs>
  <TotalTime>0</TotalTime>
  <ScaleCrop>false</ScaleCrop>
  <LinksUpToDate>false</LinksUpToDate>
  <CharactersWithSpaces>1189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2018-03-28T06:34:00Z</dcterms:created>
  <dc:creator>microsoft</dc:creator>
  <cp:lastModifiedBy>Administrator</cp:lastModifiedBy>
  <cp:lastPrinted>2018-03-29T00:41:00Z</cp:lastPrinted>
  <dcterms:modified xsi:type="dcterms:W3CDTF">2018-03-29T07:19:47Z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